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35" w:rsidRDefault="00D21235" w:rsidP="001D2B62">
      <w:pPr>
        <w:pStyle w:val="3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 xml:space="preserve">3M79 圖解財務報表分析  </w:t>
      </w:r>
      <w:r>
        <w:rPr>
          <w:rFonts w:hint="eastAsia"/>
          <w:sz w:val="28"/>
          <w:szCs w:val="28"/>
        </w:rPr>
        <w:t>勘誤表</w:t>
      </w:r>
      <w:bookmarkEnd w:id="0"/>
    </w:p>
    <w:p w:rsidR="001D2B62" w:rsidRPr="00D21235" w:rsidRDefault="001D2B62" w:rsidP="001D2B62">
      <w:pPr>
        <w:pStyle w:val="3"/>
        <w:jc w:val="center"/>
        <w:rPr>
          <w:rFonts w:hint="eastAsia"/>
          <w:sz w:val="24"/>
          <w:szCs w:val="24"/>
        </w:rPr>
      </w:pPr>
      <w:r w:rsidRPr="00D21235">
        <w:rPr>
          <w:sz w:val="24"/>
          <w:szCs w:val="24"/>
        </w:rPr>
        <w:t>台積電 </w:t>
      </w:r>
      <w:r w:rsidRPr="00D21235">
        <w:rPr>
          <w:rFonts w:hint="eastAsia"/>
          <w:sz w:val="24"/>
          <w:szCs w:val="24"/>
        </w:rPr>
        <w:t>(</w:t>
      </w:r>
      <w:r w:rsidRPr="00D21235">
        <w:rPr>
          <w:sz w:val="24"/>
          <w:szCs w:val="24"/>
        </w:rPr>
        <w:t>合併</w:t>
      </w:r>
      <w:r w:rsidRPr="00D21235">
        <w:rPr>
          <w:rFonts w:hint="eastAsia"/>
          <w:sz w:val="24"/>
          <w:szCs w:val="24"/>
        </w:rPr>
        <w:t>)</w:t>
      </w:r>
      <w:r w:rsidRPr="00D21235">
        <w:rPr>
          <w:sz w:val="24"/>
          <w:szCs w:val="24"/>
        </w:rPr>
        <w:t>損益表</w:t>
      </w:r>
      <w:r w:rsidRPr="00D21235">
        <w:rPr>
          <w:rFonts w:hint="eastAsia"/>
          <w:sz w:val="24"/>
          <w:szCs w:val="24"/>
        </w:rPr>
        <w:t>(簡式)</w:t>
      </w:r>
    </w:p>
    <w:tbl>
      <w:tblPr>
        <w:tblW w:w="8320" w:type="dxa"/>
        <w:tblInd w:w="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8"/>
        <w:gridCol w:w="950"/>
        <w:gridCol w:w="840"/>
        <w:gridCol w:w="1144"/>
        <w:gridCol w:w="838"/>
      </w:tblGrid>
      <w:tr w:rsidR="001D2B62" w:rsidRPr="00D07228" w:rsidTr="00A20F6A">
        <w:trPr>
          <w:trHeight w:val="284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會計科目名稱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2016年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Q4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2015年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Q4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億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億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%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營業收入合計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9,479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8,435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營業成本合計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4,731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49.91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4,331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51.35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營業毛利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4,749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50.09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4,104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48.65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營業費用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10.22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885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10.49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推銷費用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0.67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管理費用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2.09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173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2.05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研究發展費用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7.51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655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7.77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其他收益</w:t>
            </w:r>
            <w:proofErr w:type="gramStart"/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及費損淨額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-18.8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－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營業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淨利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3,780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39.87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3,200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37.94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營業外收入及支出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0722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採用權益法認列之關聯企業及合資損益之份額淨額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34.96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41.32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0.49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其他收入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64.55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47.5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0.56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外幣兌換淨值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9438B">
              <w:rPr>
                <w:rFonts w:ascii="新細明體" w:hAnsi="新細明體" w:cs="新細明體" w:hint="eastAsia"/>
                <w:color w:val="000000"/>
                <w:kern w:val="0"/>
              </w:rPr>
              <w:t>24.8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59438B">
              <w:rPr>
                <w:rFonts w:ascii="新細明體" w:hAnsi="新細明體" w:cs="新細明體" w:hint="eastAsia"/>
                <w:color w:val="000000"/>
                <w:kern w:val="0"/>
              </w:rPr>
              <w:t>11.61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－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財務成本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33.06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31.90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0.38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其他利益及損失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1.95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－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0.84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304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3.6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稅前淨利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3,8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40.72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3,504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41.54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所得稅費用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5.45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439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5.2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本期淨利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3,343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35.27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3,06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/>
                <w:kern w:val="0"/>
              </w:rPr>
              <w:t>36.34</w:t>
            </w: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 w:hint="eastAsia"/>
                <w:color w:val="000000" w:themeColor="text1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 w:themeColor="text1"/>
                <w:kern w:val="0"/>
              </w:rPr>
              <w:t>每股盈餘(元)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 w:hint="eastAsia"/>
                <w:color w:val="000000" w:themeColor="text1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  基本每股盈餘(元)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11.82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12.89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</w:tr>
      <w:tr w:rsidR="001D2B62" w:rsidRPr="00D07228" w:rsidTr="00A20F6A">
        <w:trPr>
          <w:trHeight w:val="2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B62" w:rsidRPr="00D07228" w:rsidRDefault="001D2B62" w:rsidP="00A20F6A">
            <w:pPr>
              <w:widowControl/>
              <w:rPr>
                <w:rFonts w:ascii="新細明體" w:hAnsi="新細明體" w:cs="新細明體" w:hint="eastAsia"/>
                <w:color w:val="000000" w:themeColor="text1"/>
                <w:kern w:val="0"/>
              </w:rPr>
            </w:pPr>
            <w:r w:rsidRPr="00D07228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  稀釋每股盈餘(元)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11.82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12.89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62" w:rsidRPr="00D07228" w:rsidRDefault="001D2B62" w:rsidP="00A20F6A">
            <w:pPr>
              <w:widowControl/>
              <w:jc w:val="right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</w:tr>
    </w:tbl>
    <w:p w:rsidR="001D2B62" w:rsidRDefault="001D2B62" w:rsidP="001D2B62">
      <w:pPr>
        <w:rPr>
          <w:rFonts w:hint="eastAsia"/>
        </w:rPr>
      </w:pPr>
      <w:r>
        <w:rPr>
          <w:rFonts w:hint="eastAsia"/>
        </w:rPr>
        <w:t>P.XVI</w:t>
      </w:r>
    </w:p>
    <w:p w:rsidR="0062282A" w:rsidRDefault="0062282A">
      <w:pPr>
        <w:rPr>
          <w:rFonts w:hint="eastAsia"/>
        </w:rPr>
      </w:pPr>
    </w:p>
    <w:p w:rsidR="001D2B62" w:rsidRDefault="001D2B62">
      <w:pPr>
        <w:rPr>
          <w:rFonts w:hint="eastAsia"/>
        </w:rPr>
      </w:pPr>
    </w:p>
    <w:p w:rsidR="001D2B62" w:rsidRDefault="001D2B6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C153AAA" wp14:editId="7B08E045">
            <wp:extent cx="5274310" cy="648300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62" w:rsidRDefault="001D2B62">
      <w:pPr>
        <w:rPr>
          <w:rFonts w:hint="eastAsia"/>
        </w:rPr>
      </w:pPr>
    </w:p>
    <w:p w:rsidR="001D2B62" w:rsidRDefault="001D2B62">
      <w:pPr>
        <w:rPr>
          <w:rFonts w:hint="eastAsia"/>
        </w:rPr>
      </w:pPr>
      <w:r>
        <w:rPr>
          <w:rFonts w:hint="eastAsia"/>
        </w:rPr>
        <w:t xml:space="preserve">P.247 </w:t>
      </w:r>
      <w:r>
        <w:rPr>
          <w:rFonts w:hint="eastAsia"/>
        </w:rPr>
        <w:t>上表下方二列更正</w:t>
      </w:r>
    </w:p>
    <w:p w:rsidR="001D2B62" w:rsidRDefault="001D2B62" w:rsidP="001D2B62">
      <w:pPr>
        <w:pStyle w:val="3"/>
      </w:pPr>
      <w:r>
        <w:rPr>
          <w:sz w:val="21"/>
          <w:szCs w:val="21"/>
        </w:rPr>
        <w:t>台積電的三種經營績效跟股價的比率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682"/>
        <w:gridCol w:w="815"/>
        <w:gridCol w:w="815"/>
        <w:gridCol w:w="815"/>
        <w:gridCol w:w="616"/>
        <w:gridCol w:w="948"/>
      </w:tblGrid>
      <w:tr w:rsidR="00454E80" w:rsidRPr="00454E80" w:rsidTr="00454E8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gridSpan w:val="7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華康黑體h楣." w:eastAsia="華康黑體h楣." w:hAnsi="Century Gothic" w:cs="華康黑體h楣."/>
                <w:color w:val="000000"/>
                <w:kern w:val="0"/>
              </w:rPr>
            </w:pP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4. </w:t>
            </w:r>
            <w:r w:rsidRPr="00454E80">
              <w:rPr>
                <w:rFonts w:ascii="華康黑體h楣." w:eastAsia="華康黑體h楣." w:hAnsi="Century Gothic" w:cs="華康黑體h楣." w:hint="eastAsia"/>
                <w:color w:val="000000"/>
                <w:kern w:val="0"/>
              </w:rPr>
              <w:t>股價</w:t>
            </w:r>
            <w:r w:rsidRPr="00454E80">
              <w:rPr>
                <w:rFonts w:ascii="華康黑體h楣." w:eastAsia="華康黑體h楣." w:hAnsi="Century Gothic" w:cs="華康黑體h楣."/>
                <w:color w:val="000000"/>
                <w:kern w:val="0"/>
              </w:rPr>
              <w:t xml:space="preserve"> </w:t>
            </w:r>
          </w:p>
        </w:tc>
      </w:tr>
      <w:tr w:rsidR="00454E80" w:rsidRPr="00454E80" w:rsidTr="00454E8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rPr>
                <w:rFonts w:ascii="Century Gothic" w:eastAsia="華康黑體h楣." w:hAnsi="Century Gothic" w:cs="Century Gothic"/>
                <w:color w:val="000000"/>
                <w:kern w:val="0"/>
              </w:rPr>
            </w:pPr>
            <w:proofErr w:type="gramStart"/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>•</w:t>
            </w:r>
            <w:proofErr w:type="gramEnd"/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  <w:r w:rsidRPr="00454E80">
              <w:rPr>
                <w:rFonts w:ascii="華康黑體h楣." w:eastAsia="華康黑體h楣." w:hAnsi="Century Gothic" w:cs="華康黑體h楣." w:hint="eastAsia"/>
                <w:color w:val="000000"/>
                <w:kern w:val="0"/>
              </w:rPr>
              <w:t>收盤價</w:t>
            </w:r>
            <w:r w:rsidRPr="00454E80">
              <w:rPr>
                <w:rFonts w:ascii="Century Gothic" w:eastAsia="華康黑體h楣." w:hAnsi="Century Gothic" w:cs="Century Gothic"/>
                <w:color w:val="000000"/>
                <w:kern w:val="0"/>
              </w:rPr>
              <w:t>(</w:t>
            </w:r>
            <w:r w:rsidRPr="00454E80">
              <w:rPr>
                <w:rFonts w:ascii="華康黑體h楣." w:eastAsia="華康黑體h楣." w:hAnsi="Century Gothic" w:cs="華康黑體h楣." w:hint="eastAsia"/>
                <w:color w:val="000000"/>
                <w:kern w:val="0"/>
              </w:rPr>
              <w:t>元</w:t>
            </w:r>
            <w:r w:rsidRPr="00454E80">
              <w:rPr>
                <w:rFonts w:ascii="Century Gothic" w:eastAsia="華康黑體h楣." w:hAnsi="Century Gothic" w:cs="Century Gothic"/>
                <w:color w:val="000000"/>
                <w:kern w:val="0"/>
              </w:rPr>
              <w:t>)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75.8</w:t>
            </w: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97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105.5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141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143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>1</w:t>
            </w: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81.50</w:t>
            </w: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</w:p>
        </w:tc>
      </w:tr>
      <w:tr w:rsidR="00454E80" w:rsidRPr="00454E80" w:rsidTr="00454E8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rPr>
                <w:rFonts w:ascii="Century Gothic" w:eastAsia="華康黑體h楣." w:hAnsi="Century Gothic" w:cs="Century Gothic"/>
                <w:color w:val="000000"/>
                <w:kern w:val="0"/>
              </w:rPr>
            </w:pPr>
            <w:proofErr w:type="gramStart"/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>•</w:t>
            </w:r>
            <w:proofErr w:type="gramEnd"/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  <w:r w:rsidRPr="00454E80">
              <w:rPr>
                <w:rFonts w:ascii="華康黑體h楣." w:eastAsia="華康黑體h楣." w:hAnsi="Century Gothic" w:cs="華康黑體h楣." w:hint="eastAsia"/>
                <w:color w:val="000000"/>
                <w:kern w:val="0"/>
              </w:rPr>
              <w:t>變動率</w:t>
            </w:r>
            <w:r w:rsidRPr="00454E80">
              <w:rPr>
                <w:rFonts w:ascii="Century Gothic" w:eastAsia="華康黑體h楣." w:hAnsi="Century Gothic" w:cs="Century Gothic"/>
                <w:color w:val="000000"/>
                <w:kern w:val="0"/>
              </w:rPr>
              <w:t>(%)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6.76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27.97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8.26</w:t>
            </w: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33.65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.42</w:t>
            </w: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</w:tcPr>
          <w:p w:rsidR="00454E80" w:rsidRPr="00454E80" w:rsidRDefault="00454E80" w:rsidP="00454E80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Century Gothic" w:eastAsiaTheme="minorEastAsia" w:hAnsi="Century Gothic" w:cs="Century Gothic"/>
                <w:color w:val="000000"/>
                <w:kern w:val="0"/>
              </w:rPr>
            </w:pPr>
            <w:r>
              <w:rPr>
                <w:rFonts w:ascii="Century Gothic" w:eastAsiaTheme="minorEastAsia" w:hAnsi="Century Gothic" w:cs="Century Gothic" w:hint="eastAsia"/>
                <w:color w:val="000000"/>
                <w:kern w:val="0"/>
              </w:rPr>
              <w:t>26.92</w:t>
            </w:r>
            <w:r w:rsidRPr="00454E80">
              <w:rPr>
                <w:rFonts w:ascii="Century Gothic" w:eastAsiaTheme="minorEastAsia" w:hAnsi="Century Gothic" w:cs="Century Gothic"/>
                <w:color w:val="000000"/>
                <w:kern w:val="0"/>
              </w:rPr>
              <w:t xml:space="preserve"> </w:t>
            </w:r>
          </w:p>
        </w:tc>
      </w:tr>
    </w:tbl>
    <w:p w:rsidR="001D2B62" w:rsidRPr="00454E80" w:rsidRDefault="001D2B62"/>
    <w:sectPr w:rsidR="001D2B62" w:rsidRPr="00454E80" w:rsidSect="00454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黑體h楣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2D"/>
    <w:rsid w:val="001D2B62"/>
    <w:rsid w:val="00454E80"/>
    <w:rsid w:val="0062282A"/>
    <w:rsid w:val="006A152D"/>
    <w:rsid w:val="00D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D2B6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D2B6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1D2B62"/>
    <w:pPr>
      <w:widowControl w:val="0"/>
      <w:autoSpaceDE w:val="0"/>
      <w:autoSpaceDN w:val="0"/>
      <w:adjustRightInd w:val="0"/>
    </w:pPr>
    <w:rPr>
      <w:rFonts w:ascii="華康圓體" w:eastAsia="華康圓體" w:cs="華康圓體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54E80"/>
    <w:pPr>
      <w:spacing w:line="171" w:lineRule="atLeast"/>
    </w:pPr>
    <w:rPr>
      <w:rFonts w:ascii="Century Gothic" w:eastAsiaTheme="minorEastAsia" w:hAnsi="Century Gothic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54E80"/>
    <w:pPr>
      <w:spacing w:line="171" w:lineRule="atLeast"/>
    </w:pPr>
    <w:rPr>
      <w:rFonts w:ascii="Century Gothic" w:eastAsiaTheme="minorEastAsia" w:hAnsi="Century Gothi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D2B6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D2B6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1D2B62"/>
    <w:pPr>
      <w:widowControl w:val="0"/>
      <w:autoSpaceDE w:val="0"/>
      <w:autoSpaceDN w:val="0"/>
      <w:adjustRightInd w:val="0"/>
    </w:pPr>
    <w:rPr>
      <w:rFonts w:ascii="華康圓體" w:eastAsia="華康圓體" w:cs="華康圓體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54E80"/>
    <w:pPr>
      <w:spacing w:line="171" w:lineRule="atLeast"/>
    </w:pPr>
    <w:rPr>
      <w:rFonts w:ascii="Century Gothic" w:eastAsiaTheme="minorEastAsia" w:hAnsi="Century Gothic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54E80"/>
    <w:pPr>
      <w:spacing w:line="171" w:lineRule="atLeast"/>
    </w:pPr>
    <w:rPr>
      <w:rFonts w:ascii="Century Gothic" w:eastAsiaTheme="minorEastAsia" w:hAnsi="Century Gothi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7760-F137-4101-A223-A1488D0C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</Words>
  <Characters>702</Characters>
  <Application>Microsoft Office Word</Application>
  <DocSecurity>0</DocSecurity>
  <Lines>5</Lines>
  <Paragraphs>1</Paragraphs>
  <ScaleCrop>false</ScaleCrop>
  <Company>SYNNEX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WUNAN</dc:creator>
  <cp:lastModifiedBy>WUNAN</cp:lastModifiedBy>
  <cp:revision>2</cp:revision>
  <dcterms:created xsi:type="dcterms:W3CDTF">2020-02-19T06:43:00Z</dcterms:created>
  <dcterms:modified xsi:type="dcterms:W3CDTF">2020-02-19T09:10:00Z</dcterms:modified>
</cp:coreProperties>
</file>